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76C74">
      <w:pPr>
        <w:kinsoku w:val="0"/>
        <w:overflowPunct w:val="0"/>
        <w:autoSpaceDE/>
        <w:autoSpaceDN/>
        <w:adjustRightInd/>
        <w:spacing w:before="3" w:line="269"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RESOLUCION No. TAT-3272-2017</w:t>
      </w:r>
    </w:p>
    <w:p w:rsidR="00000000" w:rsidRDefault="00676C74">
      <w:pPr>
        <w:kinsoku w:val="0"/>
        <w:overflowPunct w:val="0"/>
        <w:autoSpaceDE/>
        <w:autoSpaceDN/>
        <w:adjustRightInd/>
        <w:spacing w:before="563" w:line="268" w:lineRule="exact"/>
        <w:ind w:right="57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 a las trece horas diecisé</w:t>
      </w:r>
      <w:r>
        <w:rPr>
          <w:rFonts w:ascii="Verdana" w:hAnsi="Verdana" w:cs="Verdana"/>
          <w:sz w:val="23"/>
          <w:szCs w:val="23"/>
          <w:lang w:val="es-ES" w:eastAsia="es-ES"/>
        </w:rPr>
        <w:t>is minutos del treinta y uno de mayo de dos mil diecisiete.</w:t>
      </w:r>
    </w:p>
    <w:p w:rsidR="00000000" w:rsidRDefault="00676C74">
      <w:pPr>
        <w:kinsoku w:val="0"/>
        <w:overflowPunct w:val="0"/>
        <w:autoSpaceDE/>
        <w:autoSpaceDN/>
        <w:adjustRightInd/>
        <w:spacing w:before="316" w:line="268" w:lineRule="exact"/>
        <w:ind w:right="576"/>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Recurso de Apelación y Nulidad Absoluta Concomitante, presentado por J</w:t>
      </w:r>
      <w:r w:rsidR="009B7B91">
        <w:rPr>
          <w:rFonts w:ascii="Verdana" w:hAnsi="Verdana" w:cs="Verdana"/>
          <w:b/>
          <w:bCs/>
          <w:sz w:val="23"/>
          <w:szCs w:val="23"/>
          <w:lang w:val="es-ES" w:eastAsia="es-ES"/>
        </w:rPr>
        <w:t>.C.R.B.</w:t>
      </w:r>
      <w:r>
        <w:rPr>
          <w:rFonts w:ascii="Verdana" w:hAnsi="Verdana" w:cs="Verdana"/>
          <w:b/>
          <w:bCs/>
          <w:sz w:val="23"/>
          <w:szCs w:val="23"/>
          <w:lang w:val="es-ES" w:eastAsia="es-ES"/>
        </w:rPr>
        <w:t xml:space="preserve">, cédula de identidad </w:t>
      </w:r>
      <w:r w:rsidR="009B7B91">
        <w:rPr>
          <w:rFonts w:ascii="Verdana" w:hAnsi="Verdana" w:cs="Verdana"/>
          <w:b/>
          <w:bCs/>
          <w:sz w:val="23"/>
          <w:szCs w:val="23"/>
          <w:lang w:val="es-ES" w:eastAsia="es-ES"/>
        </w:rPr>
        <w:t>…</w:t>
      </w:r>
      <w:r>
        <w:rPr>
          <w:rFonts w:ascii="Verdana" w:hAnsi="Verdana" w:cs="Verdana"/>
          <w:b/>
          <w:bCs/>
          <w:sz w:val="23"/>
          <w:szCs w:val="23"/>
          <w:lang w:val="es-ES" w:eastAsia="es-ES"/>
        </w:rPr>
        <w:t>, contra el Artículo 7.2 de la Sesión Ordinaria 40</w:t>
      </w:r>
      <w:r>
        <w:rPr>
          <w:rFonts w:ascii="Verdana" w:hAnsi="Verdana" w:cs="Verdana"/>
          <w:b/>
          <w:bCs/>
          <w:sz w:val="23"/>
          <w:szCs w:val="23"/>
          <w:lang w:val="es-ES" w:eastAsia="es-ES"/>
        </w:rPr>
        <w:softHyphen/>
        <w:t>2016 del 18 de agosto</w:t>
      </w:r>
      <w:r>
        <w:rPr>
          <w:rFonts w:ascii="Verdana" w:hAnsi="Verdana" w:cs="Verdana"/>
          <w:b/>
          <w:bCs/>
          <w:sz w:val="23"/>
          <w:szCs w:val="23"/>
          <w:lang w:val="es-ES" w:eastAsia="es-ES"/>
        </w:rPr>
        <w:t xml:space="preserve"> de 2016, </w:t>
      </w:r>
      <w:r>
        <w:rPr>
          <w:rFonts w:ascii="Verdana" w:hAnsi="Verdana" w:cs="Verdana"/>
          <w:sz w:val="23"/>
          <w:szCs w:val="23"/>
          <w:lang w:val="es-ES" w:eastAsia="es-ES"/>
        </w:rPr>
        <w:t xml:space="preserve">dictado por la </w:t>
      </w:r>
      <w:r>
        <w:rPr>
          <w:sz w:val="19"/>
          <w:szCs w:val="19"/>
          <w:lang w:val="es-ES" w:eastAsia="es-ES"/>
        </w:rPr>
        <w:t xml:space="preserve">JUNTA DIRECTIVA DEL CONSEJO DE TRANSPORTE PÚBLICO. </w:t>
      </w:r>
      <w:r>
        <w:rPr>
          <w:rFonts w:ascii="Verdana" w:hAnsi="Verdana" w:cs="Verdana"/>
          <w:b/>
          <w:bCs/>
          <w:sz w:val="23"/>
          <w:szCs w:val="23"/>
          <w:lang w:val="es-ES" w:eastAsia="es-ES"/>
        </w:rPr>
        <w:t>El caso se tramita en Expediente Administrativo N. TAT-056-17.</w:t>
      </w:r>
    </w:p>
    <w:p w:rsidR="00000000" w:rsidRDefault="00676C74">
      <w:pPr>
        <w:kinsoku w:val="0"/>
        <w:overflowPunct w:val="0"/>
        <w:autoSpaceDE/>
        <w:autoSpaceDN/>
        <w:adjustRightInd/>
        <w:spacing w:before="285" w:line="269" w:lineRule="exact"/>
        <w:jc w:val="center"/>
        <w:textAlignment w:val="baseline"/>
        <w:rPr>
          <w:rFonts w:ascii="Verdana" w:hAnsi="Verdana" w:cs="Verdana"/>
          <w:b/>
          <w:bCs/>
          <w:spacing w:val="-3"/>
          <w:sz w:val="23"/>
          <w:szCs w:val="23"/>
          <w:lang w:val="es-ES" w:eastAsia="es-ES"/>
        </w:rPr>
      </w:pPr>
      <w:r>
        <w:rPr>
          <w:rFonts w:ascii="Verdana" w:hAnsi="Verdana" w:cs="Verdana"/>
          <w:b/>
          <w:bCs/>
          <w:spacing w:val="-3"/>
          <w:sz w:val="23"/>
          <w:szCs w:val="23"/>
          <w:lang w:val="es-ES" w:eastAsia="es-ES"/>
        </w:rPr>
        <w:t>RESULTANDO</w:t>
      </w:r>
    </w:p>
    <w:p w:rsidR="00000000" w:rsidRDefault="00676C74">
      <w:pPr>
        <w:kinsoku w:val="0"/>
        <w:overflowPunct w:val="0"/>
        <w:autoSpaceDE/>
        <w:autoSpaceDN/>
        <w:adjustRightInd/>
        <w:spacing w:before="562" w:line="274" w:lineRule="exact"/>
        <w:ind w:right="576"/>
        <w:jc w:val="both"/>
        <w:textAlignment w:val="baseline"/>
        <w:rPr>
          <w:rFonts w:ascii="Verdana" w:hAnsi="Verdana" w:cs="Verdana"/>
          <w:spacing w:val="-5"/>
          <w:sz w:val="23"/>
          <w:szCs w:val="23"/>
          <w:lang w:val="es-ES" w:eastAsia="es-ES"/>
        </w:rPr>
      </w:pPr>
      <w:r>
        <w:rPr>
          <w:rFonts w:ascii="Verdana" w:hAnsi="Verdana" w:cs="Verdana"/>
          <w:b/>
          <w:bCs/>
          <w:spacing w:val="-5"/>
          <w:sz w:val="23"/>
          <w:szCs w:val="23"/>
          <w:lang w:val="es-ES" w:eastAsia="es-ES"/>
        </w:rPr>
        <w:t xml:space="preserve">PRIMERO: </w:t>
      </w:r>
      <w:r>
        <w:rPr>
          <w:rFonts w:ascii="Verdana" w:hAnsi="Verdana" w:cs="Verdana"/>
          <w:spacing w:val="-5"/>
          <w:sz w:val="23"/>
          <w:szCs w:val="23"/>
          <w:lang w:val="es-ES" w:eastAsia="es-ES"/>
        </w:rPr>
        <w:t xml:space="preserve">La Junta Directiva del Consejo de Transporte Público, </w:t>
      </w:r>
      <w:r>
        <w:rPr>
          <w:rFonts w:ascii="Verdana" w:hAnsi="Verdana" w:cs="Verdana"/>
          <w:b/>
          <w:bCs/>
          <w:spacing w:val="-5"/>
          <w:sz w:val="23"/>
          <w:szCs w:val="23"/>
          <w:lang w:val="es-ES" w:eastAsia="es-ES"/>
        </w:rPr>
        <w:t>Artículo 7.2 de la Sesión Ordinaria 40-2016</w:t>
      </w:r>
      <w:r>
        <w:rPr>
          <w:rFonts w:ascii="Verdana" w:hAnsi="Verdana" w:cs="Verdana"/>
          <w:b/>
          <w:bCs/>
          <w:spacing w:val="-5"/>
          <w:sz w:val="23"/>
          <w:szCs w:val="23"/>
          <w:lang w:val="es-ES" w:eastAsia="es-ES"/>
        </w:rPr>
        <w:t xml:space="preserve"> del 18 de agosto de 2016, </w:t>
      </w:r>
      <w:r>
        <w:rPr>
          <w:rFonts w:ascii="Verdana" w:hAnsi="Verdana" w:cs="Verdana"/>
          <w:spacing w:val="-5"/>
          <w:sz w:val="23"/>
          <w:szCs w:val="23"/>
          <w:lang w:val="es-ES" w:eastAsia="es-ES"/>
        </w:rPr>
        <w:t xml:space="preserve">cancela el derecho de concesión de la placa taxi </w:t>
      </w:r>
      <w:r w:rsidR="009B7B91">
        <w:rPr>
          <w:rFonts w:ascii="Verdana" w:hAnsi="Verdana" w:cs="Verdana"/>
          <w:b/>
          <w:bCs/>
          <w:spacing w:val="-5"/>
          <w:sz w:val="23"/>
          <w:szCs w:val="23"/>
          <w:lang w:val="es-ES" w:eastAsia="es-ES"/>
        </w:rPr>
        <w:t>TSJ</w:t>
      </w:r>
      <w:r>
        <w:rPr>
          <w:rFonts w:ascii="Verdana" w:hAnsi="Verdana" w:cs="Verdana"/>
          <w:b/>
          <w:bCs/>
          <w:spacing w:val="-5"/>
          <w:sz w:val="23"/>
          <w:szCs w:val="23"/>
          <w:lang w:val="es-ES" w:eastAsia="es-ES"/>
        </w:rPr>
        <w:t xml:space="preserve"> </w:t>
      </w:r>
      <w:r w:rsidR="009B7B91">
        <w:rPr>
          <w:rFonts w:ascii="Verdana" w:hAnsi="Verdana" w:cs="Verdana"/>
          <w:b/>
          <w:bCs/>
          <w:spacing w:val="-5"/>
          <w:sz w:val="23"/>
          <w:szCs w:val="23"/>
          <w:lang w:val="es-ES" w:eastAsia="es-ES"/>
        </w:rPr>
        <w:t>XXX</w:t>
      </w:r>
      <w:r>
        <w:rPr>
          <w:rFonts w:ascii="Verdana" w:hAnsi="Verdana" w:cs="Verdana"/>
          <w:b/>
          <w:bCs/>
          <w:spacing w:val="-5"/>
          <w:sz w:val="23"/>
          <w:szCs w:val="23"/>
          <w:lang w:val="es-ES" w:eastAsia="es-ES"/>
        </w:rPr>
        <w:t>, del concesionario J</w:t>
      </w:r>
      <w:r w:rsidR="009B7B91">
        <w:rPr>
          <w:rFonts w:ascii="Verdana" w:hAnsi="Verdana" w:cs="Verdana"/>
          <w:b/>
          <w:bCs/>
          <w:spacing w:val="-5"/>
          <w:sz w:val="23"/>
          <w:szCs w:val="23"/>
          <w:lang w:val="es-ES" w:eastAsia="es-ES"/>
        </w:rPr>
        <w:t>.C.R.B.</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por vencimiento del plazo y no gestionar la renovación de la misma. Dicho acuerdo fue notificado, según lo certifica el Consejo</w:t>
      </w:r>
      <w:r>
        <w:rPr>
          <w:rFonts w:ascii="Verdana" w:hAnsi="Verdana" w:cs="Verdana"/>
          <w:spacing w:val="-5"/>
          <w:sz w:val="23"/>
          <w:szCs w:val="23"/>
          <w:lang w:val="es-ES" w:eastAsia="es-ES"/>
        </w:rPr>
        <w:t xml:space="preserve"> de Transporte Público el 22 de agosto de 2016. (Léanse folios del 13 al 21 del expediente administrativo).</w:t>
      </w:r>
    </w:p>
    <w:p w:rsidR="00000000" w:rsidRDefault="00676C74">
      <w:pPr>
        <w:kinsoku w:val="0"/>
        <w:overflowPunct w:val="0"/>
        <w:autoSpaceDE/>
        <w:autoSpaceDN/>
        <w:adjustRightInd/>
        <w:spacing w:before="298" w:line="268" w:lineRule="exact"/>
        <w:ind w:right="576"/>
        <w:jc w:val="both"/>
        <w:textAlignment w:val="baseline"/>
        <w:rPr>
          <w:rFonts w:ascii="Verdana" w:hAnsi="Verdana" w:cs="Verdana"/>
          <w:spacing w:val="-4"/>
          <w:sz w:val="23"/>
          <w:szCs w:val="23"/>
          <w:lang w:val="es-ES" w:eastAsia="es-ES"/>
        </w:rPr>
      </w:pPr>
      <w:r>
        <w:rPr>
          <w:rFonts w:ascii="Verdana" w:hAnsi="Verdana" w:cs="Verdana"/>
          <w:b/>
          <w:bCs/>
          <w:spacing w:val="-4"/>
          <w:sz w:val="23"/>
          <w:szCs w:val="23"/>
          <w:lang w:val="es-ES" w:eastAsia="es-ES"/>
        </w:rPr>
        <w:t xml:space="preserve">SEGUNDÓ: </w:t>
      </w:r>
      <w:r>
        <w:rPr>
          <w:rFonts w:ascii="Verdana" w:hAnsi="Verdana" w:cs="Verdana"/>
          <w:spacing w:val="-4"/>
          <w:sz w:val="23"/>
          <w:szCs w:val="23"/>
          <w:lang w:val="es-ES" w:eastAsia="es-ES"/>
        </w:rPr>
        <w:t xml:space="preserve">El recurrente presenta </w:t>
      </w:r>
      <w:r>
        <w:rPr>
          <w:rFonts w:ascii="Verdana" w:hAnsi="Verdana" w:cs="Verdana"/>
          <w:b/>
          <w:bCs/>
          <w:spacing w:val="-4"/>
          <w:sz w:val="23"/>
          <w:szCs w:val="23"/>
          <w:lang w:val="es-ES" w:eastAsia="es-ES"/>
        </w:rPr>
        <w:t xml:space="preserve">Recurso de Apelación, nulidad concomitante </w:t>
      </w:r>
      <w:r>
        <w:rPr>
          <w:rFonts w:ascii="Verdana" w:hAnsi="Verdana" w:cs="Verdana"/>
          <w:spacing w:val="-4"/>
          <w:sz w:val="23"/>
          <w:szCs w:val="23"/>
          <w:lang w:val="es-ES" w:eastAsia="es-ES"/>
        </w:rPr>
        <w:t>contra el acuerdo impugnado, indicando en lo conducente que nunca se le</w:t>
      </w:r>
      <w:r>
        <w:rPr>
          <w:rFonts w:ascii="Verdana" w:hAnsi="Verdana" w:cs="Verdana"/>
          <w:spacing w:val="-4"/>
          <w:sz w:val="23"/>
          <w:szCs w:val="23"/>
          <w:lang w:val="es-ES" w:eastAsia="es-ES"/>
        </w:rPr>
        <w:t xml:space="preserve"> comunicó cita alguna al correo indicado. Además, manifiesta que el acto impugnado tampoco se le ha notificado formalmente y no se siguieron los mecanismos de notificación de la corte. (Léanse folios del 7 al 11 del expediente administrativo).</w:t>
      </w:r>
    </w:p>
    <w:p w:rsidR="00000000" w:rsidRDefault="00676C74">
      <w:pPr>
        <w:kinsoku w:val="0"/>
        <w:overflowPunct w:val="0"/>
        <w:autoSpaceDE/>
        <w:autoSpaceDN/>
        <w:adjustRightInd/>
        <w:spacing w:before="272" w:line="277" w:lineRule="exact"/>
        <w:ind w:right="576"/>
        <w:jc w:val="both"/>
        <w:textAlignment w:val="baseline"/>
        <w:rPr>
          <w:rFonts w:ascii="Verdana" w:hAnsi="Verdana" w:cs="Verdana"/>
          <w:spacing w:val="-3"/>
          <w:sz w:val="23"/>
          <w:szCs w:val="23"/>
          <w:lang w:val="es-ES" w:eastAsia="es-ES"/>
        </w:rPr>
      </w:pPr>
      <w:r>
        <w:rPr>
          <w:rFonts w:ascii="Verdana" w:hAnsi="Verdana" w:cs="Verdana"/>
          <w:b/>
          <w:bCs/>
          <w:spacing w:val="-3"/>
          <w:sz w:val="23"/>
          <w:szCs w:val="23"/>
          <w:lang w:val="es-ES" w:eastAsia="es-ES"/>
        </w:rPr>
        <w:t xml:space="preserve">TERCERO: </w:t>
      </w:r>
      <w:r>
        <w:rPr>
          <w:rFonts w:ascii="Verdana" w:hAnsi="Verdana" w:cs="Verdana"/>
          <w:spacing w:val="-3"/>
          <w:sz w:val="23"/>
          <w:szCs w:val="23"/>
          <w:lang w:val="es-ES" w:eastAsia="es-ES"/>
        </w:rPr>
        <w:t xml:space="preserve">La </w:t>
      </w:r>
      <w:r>
        <w:rPr>
          <w:rFonts w:ascii="Verdana" w:hAnsi="Verdana" w:cs="Verdana"/>
          <w:spacing w:val="-3"/>
          <w:sz w:val="23"/>
          <w:szCs w:val="23"/>
          <w:lang w:val="es-ES" w:eastAsia="es-ES"/>
        </w:rPr>
        <w:t xml:space="preserve">Junta Directiva del Consejo de Transporte Público, mediante </w:t>
      </w:r>
      <w:r>
        <w:rPr>
          <w:rFonts w:ascii="Verdana" w:hAnsi="Verdana" w:cs="Verdana"/>
          <w:b/>
          <w:bCs/>
          <w:spacing w:val="-3"/>
          <w:sz w:val="23"/>
          <w:szCs w:val="23"/>
          <w:lang w:val="es-ES" w:eastAsia="es-ES"/>
        </w:rPr>
        <w:t xml:space="preserve">Artículo 7.5.3 de la Sesión Ordinaria 18-2017 de 4 de mayo de 2017, </w:t>
      </w:r>
      <w:r>
        <w:rPr>
          <w:rFonts w:ascii="Verdana" w:hAnsi="Verdana" w:cs="Verdana"/>
          <w:spacing w:val="-3"/>
          <w:sz w:val="23"/>
          <w:szCs w:val="23"/>
          <w:lang w:val="es-ES" w:eastAsia="es-ES"/>
        </w:rPr>
        <w:t xml:space="preserve">conoce y aprueba el informe de la Dirección de Asuntos Jurídicos </w:t>
      </w:r>
      <w:r>
        <w:rPr>
          <w:rFonts w:ascii="Verdana" w:hAnsi="Verdana" w:cs="Verdana"/>
          <w:b/>
          <w:bCs/>
          <w:spacing w:val="-3"/>
          <w:sz w:val="23"/>
          <w:szCs w:val="23"/>
          <w:lang w:val="es-ES" w:eastAsia="es-ES"/>
        </w:rPr>
        <w:t>D</w:t>
      </w:r>
      <w:r w:rsidR="009B7B91">
        <w:rPr>
          <w:rFonts w:ascii="Verdana" w:hAnsi="Verdana" w:cs="Verdana"/>
          <w:b/>
          <w:bCs/>
          <w:spacing w:val="-3"/>
          <w:sz w:val="23"/>
          <w:szCs w:val="23"/>
          <w:lang w:val="es-ES" w:eastAsia="es-ES"/>
        </w:rPr>
        <w:t>AJ</w:t>
      </w:r>
      <w:r>
        <w:rPr>
          <w:rFonts w:ascii="Verdana" w:hAnsi="Verdana" w:cs="Verdana"/>
          <w:b/>
          <w:bCs/>
          <w:spacing w:val="-3"/>
          <w:sz w:val="23"/>
          <w:szCs w:val="23"/>
          <w:lang w:val="es-ES" w:eastAsia="es-ES"/>
        </w:rPr>
        <w:t xml:space="preserve">-2017001062 de 10 de marzo de 2017 </w:t>
      </w:r>
      <w:r>
        <w:rPr>
          <w:rFonts w:ascii="Verdana" w:hAnsi="Verdana" w:cs="Verdana"/>
          <w:spacing w:val="-3"/>
          <w:sz w:val="23"/>
          <w:szCs w:val="23"/>
          <w:lang w:val="es-ES" w:eastAsia="es-ES"/>
        </w:rPr>
        <w:t xml:space="preserve">y rechaza el </w:t>
      </w:r>
      <w:r>
        <w:rPr>
          <w:rFonts w:ascii="Verdana" w:hAnsi="Verdana" w:cs="Verdana"/>
          <w:b/>
          <w:bCs/>
          <w:spacing w:val="-3"/>
          <w:sz w:val="23"/>
          <w:szCs w:val="23"/>
          <w:lang w:val="es-ES" w:eastAsia="es-ES"/>
        </w:rPr>
        <w:t>Recurso de Re</w:t>
      </w:r>
      <w:r>
        <w:rPr>
          <w:rFonts w:ascii="Verdana" w:hAnsi="Verdana" w:cs="Verdana"/>
          <w:b/>
          <w:bCs/>
          <w:spacing w:val="-3"/>
          <w:sz w:val="23"/>
          <w:szCs w:val="23"/>
          <w:lang w:val="es-ES" w:eastAsia="es-ES"/>
        </w:rPr>
        <w:t xml:space="preserve">vocatoria, así como la nulidad </w:t>
      </w:r>
      <w:r>
        <w:rPr>
          <w:rFonts w:ascii="Verdana" w:hAnsi="Verdana" w:cs="Verdana"/>
          <w:spacing w:val="-3"/>
          <w:sz w:val="23"/>
          <w:szCs w:val="23"/>
          <w:lang w:val="es-ES" w:eastAsia="es-ES"/>
        </w:rPr>
        <w:t>por improcedente. (Léanse folios del 1 al 5 del expediente administrativo).</w:t>
      </w:r>
    </w:p>
    <w:p w:rsidR="00000000" w:rsidRDefault="00676C74">
      <w:pPr>
        <w:kinsoku w:val="0"/>
        <w:overflowPunct w:val="0"/>
        <w:autoSpaceDE/>
        <w:autoSpaceDN/>
        <w:adjustRightInd/>
        <w:spacing w:before="274" w:after="606" w:line="268" w:lineRule="exact"/>
        <w:ind w:right="576"/>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En respuesta a prevención que girara este Tribunal, el Consejo de Transporte Público eleva una serie de documentos</w:t>
      </w:r>
    </w:p>
    <w:p w:rsidR="00000000" w:rsidRDefault="00676C74">
      <w:pPr>
        <w:widowControl/>
        <w:rPr>
          <w:sz w:val="24"/>
          <w:szCs w:val="24"/>
        </w:rPr>
        <w:sectPr w:rsidR="00000000">
          <w:pgSz w:w="12298" w:h="15782"/>
          <w:pgMar w:top="1420" w:right="1450" w:bottom="211" w:left="2208" w:header="720" w:footer="720" w:gutter="0"/>
          <w:cols w:space="720"/>
          <w:noEndnote/>
        </w:sectPr>
      </w:pPr>
    </w:p>
    <w:p w:rsidR="00000000" w:rsidRDefault="00676C74">
      <w:pPr>
        <w:widowControl/>
        <w:rPr>
          <w:sz w:val="24"/>
          <w:szCs w:val="24"/>
        </w:rPr>
        <w:sectPr w:rsidR="00000000">
          <w:type w:val="continuous"/>
          <w:pgSz w:w="12298" w:h="15782"/>
          <w:pgMar w:top="1420" w:right="1863" w:bottom="211" w:left="7555" w:header="720" w:footer="720" w:gutter="0"/>
          <w:cols w:space="720"/>
          <w:noEndnote/>
        </w:sectPr>
      </w:pPr>
    </w:p>
    <w:p w:rsidR="00000000" w:rsidRDefault="00676C74">
      <w:pPr>
        <w:kinsoku w:val="0"/>
        <w:overflowPunct w:val="0"/>
        <w:autoSpaceDE/>
        <w:autoSpaceDN/>
        <w:adjustRightInd/>
        <w:spacing w:before="17" w:line="274"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concernientes al expediente de la concesión </w:t>
      </w:r>
      <w:r w:rsidR="009B7B91">
        <w:rPr>
          <w:rFonts w:ascii="Verdana" w:hAnsi="Verdana" w:cs="Verdana"/>
          <w:b/>
          <w:bCs/>
          <w:sz w:val="22"/>
          <w:szCs w:val="22"/>
          <w:lang w:val="es-ES" w:eastAsia="es-ES"/>
        </w:rPr>
        <w:t>TSJ</w:t>
      </w:r>
      <w:r>
        <w:rPr>
          <w:rFonts w:ascii="Verdana" w:hAnsi="Verdana" w:cs="Verdana"/>
          <w:b/>
          <w:bCs/>
          <w:sz w:val="22"/>
          <w:szCs w:val="22"/>
          <w:lang w:val="es-ES" w:eastAsia="es-ES"/>
        </w:rPr>
        <w:t xml:space="preserve"> </w:t>
      </w:r>
      <w:r w:rsidR="009B7B91">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de ellos se extrae que el recurrente mediante documento presentado ante el CTP el 7 de abril de 2016, solicita se le reprograme la cita para la firma del con</w:t>
      </w:r>
      <w:r>
        <w:rPr>
          <w:rFonts w:ascii="Verdana" w:hAnsi="Verdana" w:cs="Verdana"/>
          <w:sz w:val="22"/>
          <w:szCs w:val="22"/>
          <w:lang w:val="es-ES" w:eastAsia="es-ES"/>
        </w:rPr>
        <w:t xml:space="preserve">trato de la concesión e indica como medio para escuchar </w:t>
      </w:r>
      <w:r w:rsidRPr="009B7B91">
        <w:rPr>
          <w:rFonts w:ascii="Verdana" w:hAnsi="Verdana" w:cs="Verdana"/>
          <w:sz w:val="22"/>
          <w:szCs w:val="22"/>
          <w:lang w:val="es-ES" w:eastAsia="es-ES"/>
        </w:rPr>
        <w:t xml:space="preserve">notificaciones el correo electrónico </w:t>
      </w:r>
      <w:hyperlink r:id="rId5" w:history="1">
        <w:r w:rsidR="009B7B91" w:rsidRPr="009B7B91">
          <w:rPr>
            <w:rStyle w:val="Hipervnculo"/>
            <w:rFonts w:ascii="Verdana" w:hAnsi="Verdana" w:cs="Verdana"/>
            <w:color w:val="auto"/>
            <w:sz w:val="22"/>
            <w:szCs w:val="22"/>
            <w:lang w:val="es-ES" w:eastAsia="es-ES"/>
          </w:rPr>
          <w:t>XXXXXXX@hotmail.com</w:t>
        </w:r>
      </w:hyperlink>
      <w:r w:rsidRPr="009B7B91">
        <w:rPr>
          <w:rFonts w:ascii="Verdana" w:hAnsi="Verdana" w:cs="Verdana"/>
          <w:sz w:val="22"/>
          <w:szCs w:val="22"/>
          <w:u w:val="single"/>
          <w:lang w:val="es-ES" w:eastAsia="es-ES"/>
        </w:rPr>
        <w:t>.</w:t>
      </w:r>
      <w:r w:rsidRPr="009B7B91">
        <w:rPr>
          <w:rFonts w:ascii="Verdana" w:hAnsi="Verdana" w:cs="Verdana"/>
          <w:sz w:val="22"/>
          <w:szCs w:val="22"/>
          <w:lang w:val="es-ES" w:eastAsia="es-ES"/>
        </w:rPr>
        <w:t xml:space="preserve"> Es a esta</w:t>
      </w:r>
      <w:r>
        <w:rPr>
          <w:rFonts w:ascii="Verdana" w:hAnsi="Verdana" w:cs="Verdana"/>
          <w:sz w:val="22"/>
          <w:szCs w:val="22"/>
          <w:lang w:val="es-ES" w:eastAsia="es-ES"/>
        </w:rPr>
        <w:t xml:space="preserve"> cuenta de correo que se le notifica el día 18 de abril de 2016, cita para la firma del contrato de renovación de la concesión para el día 26 de abril de 2016 a las 9:30 horas, misma a la que no asistió. También a ese mismo medio se le notificó e</w:t>
      </w:r>
      <w:r>
        <w:rPr>
          <w:rFonts w:ascii="Verdana" w:hAnsi="Verdana" w:cs="Verdana"/>
          <w:sz w:val="22"/>
          <w:szCs w:val="22"/>
          <w:lang w:val="es-ES" w:eastAsia="es-ES"/>
        </w:rPr>
        <w:t>l acto impugnado el 22 de agosto de 2016. (Léanse folios 21,67,68,79 y 89 del expediente administrativo)</w:t>
      </w:r>
    </w:p>
    <w:p w:rsidR="00000000" w:rsidRDefault="00676C74">
      <w:pPr>
        <w:kinsoku w:val="0"/>
        <w:overflowPunct w:val="0"/>
        <w:autoSpaceDE/>
        <w:autoSpaceDN/>
        <w:adjustRightInd/>
        <w:spacing w:before="258" w:line="27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676C74">
      <w:pPr>
        <w:kinsoku w:val="0"/>
        <w:overflowPunct w:val="0"/>
        <w:autoSpaceDE/>
        <w:autoSpaceDN/>
        <w:adjustRightInd/>
        <w:spacing w:before="556" w:line="271" w:lineRule="exact"/>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Redacta la Jueza Pérez Peláez.</w:t>
      </w:r>
    </w:p>
    <w:p w:rsidR="00000000" w:rsidRDefault="00676C74">
      <w:pPr>
        <w:kinsoku w:val="0"/>
        <w:overflowPunct w:val="0"/>
        <w:autoSpaceDE/>
        <w:autoSpaceDN/>
        <w:adjustRightInd/>
        <w:spacing w:before="263" w:line="271" w:lineRule="exact"/>
        <w:jc w:val="center"/>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CONSIDERANDO</w:t>
      </w:r>
    </w:p>
    <w:p w:rsidR="00000000" w:rsidRDefault="00676C74">
      <w:pPr>
        <w:numPr>
          <w:ilvl w:val="0"/>
          <w:numId w:val="1"/>
        </w:numPr>
        <w:kinsoku w:val="0"/>
        <w:overflowPunct w:val="0"/>
        <w:autoSpaceDE/>
        <w:autoSpaceDN/>
        <w:adjustRightInd/>
        <w:spacing w:before="259" w:line="27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SOBRE LA COMPETEN</w:t>
      </w:r>
      <w:r>
        <w:rPr>
          <w:rFonts w:ascii="Verdana" w:hAnsi="Verdana" w:cs="Verdana"/>
          <w:b/>
          <w:bCs/>
          <w:sz w:val="22"/>
          <w:szCs w:val="22"/>
          <w:lang w:val="es-ES" w:eastAsia="es-ES"/>
        </w:rPr>
        <w:t xml:space="preserve">CIA: </w:t>
      </w:r>
      <w:r>
        <w:rPr>
          <w:rFonts w:ascii="Verdana" w:hAnsi="Verdana" w:cs="Verdana"/>
          <w:sz w:val="22"/>
          <w:szCs w:val="22"/>
          <w:lang w:val="es-ES" w:eastAsia="es-ES"/>
        </w:rPr>
        <w:t xml:space="preserve">De conformidad con el artículo 22 de la Ley Reguladora del Servicio Público de Transporte Remunerado de Personas en Vehículos en la Modalidad de Taxi, No. 7969 del 22 de diciembre de 1999, publicada el 28 de enero del 2000, el Tribunal Administrativo </w:t>
      </w:r>
      <w:r>
        <w:rPr>
          <w:rFonts w:ascii="Verdana" w:hAnsi="Verdana" w:cs="Verdana"/>
          <w:sz w:val="22"/>
          <w:szCs w:val="22"/>
          <w:lang w:val="es-ES" w:eastAsia="es-ES"/>
        </w:rPr>
        <w:t>de Transporte es el Competente para conocer del presente asunto.</w:t>
      </w:r>
    </w:p>
    <w:p w:rsidR="00000000" w:rsidRDefault="00676C74">
      <w:pPr>
        <w:numPr>
          <w:ilvl w:val="0"/>
          <w:numId w:val="1"/>
        </w:numPr>
        <w:kinsoku w:val="0"/>
        <w:overflowPunct w:val="0"/>
        <w:autoSpaceDE/>
        <w:autoSpaceDN/>
        <w:adjustRightInd/>
        <w:spacing w:before="261" w:line="271"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SOBRE LA ADMISIBILIDAD DEL RECURSO:</w:t>
      </w:r>
    </w:p>
    <w:p w:rsidR="00000000" w:rsidRDefault="00676C74">
      <w:pPr>
        <w:kinsoku w:val="0"/>
        <w:overflowPunct w:val="0"/>
        <w:autoSpaceDE/>
        <w:autoSpaceDN/>
        <w:adjustRightInd/>
        <w:spacing w:before="247" w:line="274" w:lineRule="exact"/>
        <w:ind w:right="72"/>
        <w:jc w:val="both"/>
        <w:textAlignment w:val="baseline"/>
        <w:rPr>
          <w:rFonts w:ascii="Verdana" w:hAnsi="Verdana" w:cs="Verdana"/>
          <w:sz w:val="22"/>
          <w:szCs w:val="22"/>
          <w:lang w:val="es-ES" w:eastAsia="es-ES"/>
        </w:rPr>
      </w:pPr>
      <w:r>
        <w:rPr>
          <w:rFonts w:ascii="Verdana" w:hAnsi="Verdana" w:cs="Verdana"/>
          <w:b/>
          <w:bCs/>
          <w:sz w:val="22"/>
          <w:szCs w:val="22"/>
          <w:u w:val="single"/>
          <w:lang w:val="es-ES" w:eastAsia="es-ES"/>
        </w:rPr>
        <w:t>En cuanto al plazo de presentación del recurso:</w:t>
      </w:r>
      <w:r>
        <w:rPr>
          <w:rFonts w:ascii="Verdana" w:hAnsi="Verdana" w:cs="Verdana"/>
          <w:sz w:val="22"/>
          <w:szCs w:val="22"/>
          <w:lang w:val="es-ES" w:eastAsia="es-ES"/>
        </w:rPr>
        <w:t xml:space="preserve"> Conforme al estudio efectuado el Recurso de Apelació</w:t>
      </w:r>
      <w:r>
        <w:rPr>
          <w:rFonts w:ascii="Verdana" w:hAnsi="Verdana" w:cs="Verdana"/>
          <w:sz w:val="22"/>
          <w:szCs w:val="22"/>
          <w:lang w:val="es-ES" w:eastAsia="es-ES"/>
        </w:rPr>
        <w:t>n fue presentado fuera del plazo legal .establecido para tal fin, en los términos del artículo 11 de la Ley Reguladora del Servicio Público de Transporte Remunerado de Personas en vehículos en la modalidad de taxi, Ley N°7969, del 28 de enero del 2000, tod</w:t>
      </w:r>
      <w:r>
        <w:rPr>
          <w:rFonts w:ascii="Verdana" w:hAnsi="Verdana" w:cs="Verdana"/>
          <w:sz w:val="22"/>
          <w:szCs w:val="22"/>
          <w:lang w:val="es-ES" w:eastAsia="es-ES"/>
        </w:rPr>
        <w:t xml:space="preserve">a vez que a la fecha de presentación del escrito de Apelación sea ésta </w:t>
      </w:r>
      <w:r>
        <w:rPr>
          <w:rFonts w:ascii="Verdana" w:hAnsi="Verdana" w:cs="Verdana"/>
          <w:b/>
          <w:bCs/>
          <w:sz w:val="22"/>
          <w:szCs w:val="22"/>
          <w:lang w:val="es-ES" w:eastAsia="es-ES"/>
        </w:rPr>
        <w:t xml:space="preserve">17 de noviembre de 2016 (ver folio 7), </w:t>
      </w:r>
      <w:r>
        <w:rPr>
          <w:rFonts w:ascii="Verdana" w:hAnsi="Verdana" w:cs="Verdana"/>
          <w:sz w:val="22"/>
          <w:szCs w:val="22"/>
          <w:lang w:val="es-ES" w:eastAsia="es-ES"/>
        </w:rPr>
        <w:t>ya había transcurrido el plazo establecido por ley para recurrir dicho acto.</w:t>
      </w:r>
    </w:p>
    <w:p w:rsidR="00000000" w:rsidRDefault="00676C74">
      <w:pPr>
        <w:kinsoku w:val="0"/>
        <w:overflowPunct w:val="0"/>
        <w:autoSpaceDE/>
        <w:autoSpaceDN/>
        <w:adjustRightInd/>
        <w:spacing w:before="295"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Según se puede verificar del acta de notificación, visible a folio 21</w:t>
      </w:r>
      <w:r>
        <w:rPr>
          <w:rFonts w:ascii="Verdana" w:hAnsi="Verdana" w:cs="Verdana"/>
          <w:sz w:val="22"/>
          <w:szCs w:val="22"/>
          <w:lang w:val="es-ES" w:eastAsia="es-ES"/>
        </w:rPr>
        <w:t xml:space="preserve"> del expediente, que el acuerdo impugnado le fue notificado al recurrente el </w:t>
      </w:r>
      <w:r>
        <w:rPr>
          <w:rFonts w:ascii="Verdana" w:hAnsi="Verdana" w:cs="Verdana"/>
          <w:b/>
          <w:bCs/>
          <w:sz w:val="22"/>
          <w:szCs w:val="22"/>
          <w:lang w:val="es-ES" w:eastAsia="es-ES"/>
        </w:rPr>
        <w:t xml:space="preserve">22 de agosto de 2016, </w:t>
      </w:r>
      <w:r>
        <w:rPr>
          <w:rFonts w:ascii="Verdana" w:hAnsi="Verdana" w:cs="Verdana"/>
          <w:sz w:val="22"/>
          <w:szCs w:val="22"/>
          <w:lang w:val="es-ES" w:eastAsia="es-ES"/>
        </w:rPr>
        <w:t xml:space="preserve">por lo que al día </w:t>
      </w:r>
      <w:r>
        <w:rPr>
          <w:rFonts w:ascii="Verdana" w:hAnsi="Verdana" w:cs="Verdana"/>
          <w:b/>
          <w:bCs/>
          <w:sz w:val="22"/>
          <w:szCs w:val="22"/>
          <w:lang w:val="es-ES" w:eastAsia="es-ES"/>
        </w:rPr>
        <w:t xml:space="preserve">17 de noviembre de 2016 </w:t>
      </w:r>
      <w:r>
        <w:rPr>
          <w:rFonts w:ascii="Verdana" w:hAnsi="Verdana" w:cs="Verdana"/>
          <w:sz w:val="22"/>
          <w:szCs w:val="22"/>
          <w:lang w:val="es-ES" w:eastAsia="es-ES"/>
        </w:rPr>
        <w:t>en que presentó el recurso ya se había superado el plazo determinado en el artículo 11 de la Ley Reguladora del Ser</w:t>
      </w:r>
      <w:r>
        <w:rPr>
          <w:rFonts w:ascii="Verdana" w:hAnsi="Verdana" w:cs="Verdana"/>
          <w:sz w:val="22"/>
          <w:szCs w:val="22"/>
          <w:lang w:val="es-ES" w:eastAsia="es-ES"/>
        </w:rPr>
        <w:t>vicio Público de Transporte Remunerado de Personas en vehículos en la modalidad de taxi, Ley N°7969.</w:t>
      </w:r>
    </w:p>
    <w:p w:rsidR="00000000" w:rsidRDefault="00676C74">
      <w:pPr>
        <w:kinsoku w:val="0"/>
        <w:overflowPunct w:val="0"/>
        <w:autoSpaceDE/>
        <w:autoSpaceDN/>
        <w:adjustRightInd/>
        <w:spacing w:before="256" w:after="719" w:line="28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este sentido, el artículo 11 de la Ley N° 7969, establece en lo que interesa:</w:t>
      </w:r>
    </w:p>
    <w:p w:rsidR="00000000" w:rsidRDefault="00676C74">
      <w:pPr>
        <w:widowControl/>
        <w:rPr>
          <w:sz w:val="24"/>
          <w:szCs w:val="24"/>
        </w:rPr>
        <w:sectPr w:rsidR="00000000">
          <w:pgSz w:w="12298" w:h="15782"/>
          <w:pgMar w:top="1280" w:right="2077" w:bottom="266" w:left="2141" w:header="720" w:footer="720" w:gutter="0"/>
          <w:cols w:space="720"/>
          <w:noEndnote/>
        </w:sectPr>
      </w:pPr>
    </w:p>
    <w:p w:rsidR="00000000" w:rsidRDefault="00676C74">
      <w:pPr>
        <w:widowControl/>
        <w:rPr>
          <w:sz w:val="24"/>
          <w:szCs w:val="24"/>
        </w:rPr>
        <w:sectPr w:rsidR="00000000">
          <w:type w:val="continuous"/>
          <w:pgSz w:w="12298" w:h="15782"/>
          <w:pgMar w:top="1280" w:right="1990" w:bottom="266" w:left="7428" w:header="720" w:footer="720" w:gutter="0"/>
          <w:cols w:space="720"/>
          <w:noEndnote/>
        </w:sectPr>
      </w:pPr>
    </w:p>
    <w:p w:rsidR="00000000" w:rsidRDefault="00676C74">
      <w:pPr>
        <w:kinsoku w:val="0"/>
        <w:overflowPunct w:val="0"/>
        <w:autoSpaceDE/>
        <w:autoSpaceDN/>
        <w:adjustRightInd/>
        <w:spacing w:before="10" w:line="226"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"...Cont</w:t>
      </w:r>
      <w:r>
        <w:rPr>
          <w:rFonts w:ascii="Verdana" w:hAnsi="Verdana" w:cs="Verdana"/>
          <w:i/>
          <w:iCs/>
          <w:sz w:val="19"/>
          <w:szCs w:val="19"/>
          <w:lang w:val="es-ES" w:eastAsia="es-ES"/>
        </w:rPr>
        <w:t>ra las resoluciones del Consejo cabrá recurso de revocatoria ante el órgano que dictó el acto, con apelación en subsidio para ante el Tribunal. Ambos recursos deberán interponerse dentro del plazo de cinco días hábiles, contados a partir de la notificación</w:t>
      </w:r>
      <w:r>
        <w:rPr>
          <w:rFonts w:ascii="Verdana" w:hAnsi="Verdana" w:cs="Verdana"/>
          <w:i/>
          <w:iCs/>
          <w:sz w:val="19"/>
          <w:szCs w:val="19"/>
          <w:lang w:val="es-ES" w:eastAsia="es-ES"/>
        </w:rPr>
        <w:t>".</w:t>
      </w:r>
    </w:p>
    <w:p w:rsidR="00000000" w:rsidRDefault="00676C74">
      <w:pPr>
        <w:kinsoku w:val="0"/>
        <w:overflowPunct w:val="0"/>
        <w:autoSpaceDE/>
        <w:autoSpaceDN/>
        <w:adjustRightInd/>
        <w:spacing w:before="277" w:line="275"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De conformidad con la norma transcrita anteriormente, se determina que el Recurso de Apelación ha sido presentado de manera extemporánea.</w:t>
      </w:r>
    </w:p>
    <w:p w:rsidR="00000000" w:rsidRDefault="00676C74">
      <w:pPr>
        <w:kinsoku w:val="0"/>
        <w:overflowPunct w:val="0"/>
        <w:autoSpaceDE/>
        <w:autoSpaceDN/>
        <w:adjustRightInd/>
        <w:spacing w:before="553" w:line="268" w:lineRule="exac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DE LA NULIDAD INVOCADA</w:t>
      </w:r>
    </w:p>
    <w:p w:rsidR="00000000" w:rsidRDefault="00676C74">
      <w:pPr>
        <w:kinsoku w:val="0"/>
        <w:overflowPunct w:val="0"/>
        <w:autoSpaceDE/>
        <w:autoSpaceDN/>
        <w:adjustRightInd/>
        <w:spacing w:before="556"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Ahora bien, respecto de la </w:t>
      </w:r>
      <w:r>
        <w:rPr>
          <w:rFonts w:ascii="Verdana" w:hAnsi="Verdana" w:cs="Verdana"/>
          <w:b/>
          <w:bCs/>
          <w:sz w:val="22"/>
          <w:szCs w:val="22"/>
          <w:lang w:val="es-ES" w:eastAsia="es-ES"/>
        </w:rPr>
        <w:t xml:space="preserve">Nulidad </w:t>
      </w:r>
      <w:r>
        <w:rPr>
          <w:rFonts w:ascii="Verdana" w:hAnsi="Verdana" w:cs="Verdana"/>
          <w:sz w:val="22"/>
          <w:szCs w:val="22"/>
          <w:lang w:val="es-ES" w:eastAsia="es-ES"/>
        </w:rPr>
        <w:t>presentada, este Tribunal considera que contrario a lo indicado por el recurrente, el Consejo de Transporte Público ha actuado dentro del marco de la Legalidad y de sus atribuciones.</w:t>
      </w:r>
    </w:p>
    <w:p w:rsidR="00000000" w:rsidRDefault="009B7B91">
      <w:pPr>
        <w:kinsoku w:val="0"/>
        <w:overflowPunct w:val="0"/>
        <w:autoSpaceDE/>
        <w:autoSpaceDN/>
        <w:adjustRightInd/>
        <w:spacing w:before="281"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Co</w:t>
      </w:r>
      <w:r w:rsidR="00676C74">
        <w:rPr>
          <w:rFonts w:ascii="Verdana" w:hAnsi="Verdana" w:cs="Verdana"/>
          <w:sz w:val="22"/>
          <w:szCs w:val="22"/>
          <w:lang w:val="es-ES" w:eastAsia="es-ES"/>
        </w:rPr>
        <w:t xml:space="preserve">mo se indicó supra el recurrente presenta </w:t>
      </w:r>
      <w:r w:rsidR="00676C74">
        <w:rPr>
          <w:rFonts w:ascii="Verdana" w:hAnsi="Verdana" w:cs="Verdana"/>
          <w:b/>
          <w:bCs/>
          <w:sz w:val="22"/>
          <w:szCs w:val="22"/>
          <w:lang w:val="es-ES" w:eastAsia="es-ES"/>
        </w:rPr>
        <w:t>Recurso de Apelación con nuli</w:t>
      </w:r>
      <w:r w:rsidR="00676C74">
        <w:rPr>
          <w:rFonts w:ascii="Verdana" w:hAnsi="Verdana" w:cs="Verdana"/>
          <w:b/>
          <w:bCs/>
          <w:sz w:val="22"/>
          <w:szCs w:val="22"/>
          <w:lang w:val="es-ES" w:eastAsia="es-ES"/>
        </w:rPr>
        <w:t>dad c</w:t>
      </w:r>
      <w:r>
        <w:rPr>
          <w:rFonts w:ascii="Verdana" w:hAnsi="Verdana" w:cs="Verdana"/>
          <w:b/>
          <w:bCs/>
          <w:sz w:val="22"/>
          <w:szCs w:val="22"/>
          <w:lang w:val="es-ES" w:eastAsia="es-ES"/>
        </w:rPr>
        <w:t>oncomi</w:t>
      </w:r>
      <w:r w:rsidR="00676C74">
        <w:rPr>
          <w:rFonts w:ascii="Verdana" w:hAnsi="Verdana" w:cs="Verdana"/>
          <w:b/>
          <w:bCs/>
          <w:sz w:val="22"/>
          <w:szCs w:val="22"/>
          <w:lang w:val="es-ES" w:eastAsia="es-ES"/>
        </w:rPr>
        <w:t xml:space="preserve">tante </w:t>
      </w:r>
      <w:r w:rsidR="00676C74">
        <w:rPr>
          <w:rFonts w:ascii="Verdana" w:hAnsi="Verdana" w:cs="Verdana"/>
          <w:sz w:val="22"/>
          <w:szCs w:val="22"/>
          <w:lang w:val="es-ES" w:eastAsia="es-ES"/>
        </w:rPr>
        <w:t xml:space="preserve">contra el acuerdo impugnado, indicando </w:t>
      </w:r>
      <w:r>
        <w:rPr>
          <w:rFonts w:ascii="Verdana" w:hAnsi="Verdana" w:cs="Verdana"/>
          <w:sz w:val="22"/>
          <w:szCs w:val="22"/>
          <w:lang w:val="es-ES" w:eastAsia="es-ES"/>
        </w:rPr>
        <w:t>en lo conducente que nunca se</w:t>
      </w:r>
      <w:r w:rsidR="00676C74">
        <w:rPr>
          <w:rFonts w:ascii="Verdana" w:hAnsi="Verdana" w:cs="Verdana"/>
          <w:sz w:val="22"/>
          <w:szCs w:val="22"/>
          <w:lang w:val="es-ES" w:eastAsia="es-ES"/>
        </w:rPr>
        <w:t xml:space="preserve"> le comunicó c</w:t>
      </w:r>
      <w:r>
        <w:rPr>
          <w:rFonts w:ascii="Verdana" w:hAnsi="Verdana" w:cs="Verdana"/>
          <w:sz w:val="22"/>
          <w:szCs w:val="22"/>
          <w:lang w:val="es-ES" w:eastAsia="es-ES"/>
        </w:rPr>
        <w:t xml:space="preserve">ita alguna al medio determinado </w:t>
      </w:r>
      <w:r w:rsidR="00676C74">
        <w:rPr>
          <w:rFonts w:ascii="Verdana" w:hAnsi="Verdana" w:cs="Verdana"/>
          <w:sz w:val="22"/>
          <w:szCs w:val="22"/>
          <w:lang w:val="es-ES" w:eastAsia="es-ES"/>
        </w:rPr>
        <w:t>para escuchar notificaciones. Además, manifiesta que el acto impugnado</w:t>
      </w:r>
      <w:r>
        <w:rPr>
          <w:rFonts w:ascii="Verdana" w:hAnsi="Verdana" w:cs="Verdana"/>
          <w:sz w:val="22"/>
          <w:szCs w:val="22"/>
          <w:lang w:val="es-ES" w:eastAsia="es-ES"/>
        </w:rPr>
        <w:t xml:space="preserve"> </w:t>
      </w:r>
      <w:r w:rsidR="00676C74">
        <w:rPr>
          <w:rFonts w:ascii="Verdana" w:hAnsi="Verdana" w:cs="Verdana"/>
          <w:sz w:val="22"/>
          <w:szCs w:val="22"/>
          <w:lang w:val="es-ES" w:eastAsia="es-ES"/>
        </w:rPr>
        <w:t>tampoco se le ha notificado formalmente.</w:t>
      </w:r>
    </w:p>
    <w:p w:rsidR="00000000" w:rsidRDefault="00676C74">
      <w:pPr>
        <w:kinsoku w:val="0"/>
        <w:overflowPunct w:val="0"/>
        <w:autoSpaceDE/>
        <w:autoSpaceDN/>
        <w:adjustRightInd/>
        <w:spacing w:before="261"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w:t>
      </w:r>
      <w:r>
        <w:rPr>
          <w:rFonts w:ascii="Verdana" w:hAnsi="Verdana" w:cs="Verdana"/>
          <w:sz w:val="22"/>
          <w:szCs w:val="22"/>
          <w:lang w:val="es-ES" w:eastAsia="es-ES"/>
        </w:rPr>
        <w:t xml:space="preserve">respuesta a prevención que girara este Tribunal, el Consejo de Transporte Público eleva una serie de documentos concernientes al expediente de la concesión </w:t>
      </w:r>
      <w:r>
        <w:rPr>
          <w:rFonts w:ascii="Verdana" w:hAnsi="Verdana" w:cs="Verdana"/>
          <w:b/>
          <w:bCs/>
          <w:sz w:val="22"/>
          <w:szCs w:val="22"/>
          <w:lang w:val="es-ES" w:eastAsia="es-ES"/>
        </w:rPr>
        <w:t xml:space="preserve">TSJ </w:t>
      </w:r>
      <w:r w:rsidR="009B7B91">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de ellos se extrae que el recurrente mediante documento presentado ante el CTP el 7 de abr</w:t>
      </w:r>
      <w:r>
        <w:rPr>
          <w:rFonts w:ascii="Verdana" w:hAnsi="Verdana" w:cs="Verdana"/>
          <w:sz w:val="22"/>
          <w:szCs w:val="22"/>
          <w:lang w:val="es-ES" w:eastAsia="es-ES"/>
        </w:rPr>
        <w:t xml:space="preserve">il de 2016, solicita se le reprograme la cita para la firma del contrato de la concesión e indica como medio para escuchar notificaciones el correo </w:t>
      </w:r>
      <w:r w:rsidRPr="009B7B91">
        <w:rPr>
          <w:rFonts w:ascii="Verdana" w:hAnsi="Verdana" w:cs="Verdana"/>
          <w:sz w:val="22"/>
          <w:szCs w:val="22"/>
          <w:lang w:val="es-ES" w:eastAsia="es-ES"/>
        </w:rPr>
        <w:t xml:space="preserve">electrónico </w:t>
      </w:r>
      <w:hyperlink r:id="rId6" w:history="1">
        <w:r w:rsidR="009B7B91" w:rsidRPr="009B7B91">
          <w:rPr>
            <w:rStyle w:val="Hipervnculo"/>
            <w:rFonts w:ascii="Verdana" w:hAnsi="Verdana" w:cs="Verdana"/>
            <w:color w:val="auto"/>
            <w:sz w:val="22"/>
            <w:szCs w:val="22"/>
            <w:lang w:val="es-ES" w:eastAsia="es-ES"/>
          </w:rPr>
          <w:t>xxxxxxx@hotmail.com</w:t>
        </w:r>
      </w:hyperlink>
      <w:r w:rsidRPr="009B7B91">
        <w:rPr>
          <w:rFonts w:ascii="Verdana" w:hAnsi="Verdana" w:cs="Verdana"/>
          <w:sz w:val="22"/>
          <w:szCs w:val="22"/>
          <w:u w:val="single"/>
          <w:lang w:val="es-ES" w:eastAsia="es-ES"/>
        </w:rPr>
        <w:t>.</w:t>
      </w:r>
      <w:r w:rsidRPr="009B7B91">
        <w:rPr>
          <w:rFonts w:ascii="Verdana" w:hAnsi="Verdana" w:cs="Verdana"/>
          <w:sz w:val="22"/>
          <w:szCs w:val="22"/>
          <w:lang w:val="es-ES" w:eastAsia="es-ES"/>
        </w:rPr>
        <w:t xml:space="preserve"> Es a esta cuenta de correo que se le</w:t>
      </w:r>
      <w:r>
        <w:rPr>
          <w:rFonts w:ascii="Verdana" w:hAnsi="Verdana" w:cs="Verdana"/>
          <w:sz w:val="22"/>
          <w:szCs w:val="22"/>
          <w:lang w:val="es-ES" w:eastAsia="es-ES"/>
        </w:rPr>
        <w:t xml:space="preserve"> notifica el día 18 de abril de 2016, cita para la firma del contrato de renovación de la concesión para el día 26 de abril de 2016 a las 9:30 horas, mis</w:t>
      </w:r>
      <w:r>
        <w:rPr>
          <w:rFonts w:ascii="Verdana" w:hAnsi="Verdana" w:cs="Verdana"/>
          <w:sz w:val="22"/>
          <w:szCs w:val="22"/>
          <w:lang w:val="es-ES" w:eastAsia="es-ES"/>
        </w:rPr>
        <w:t>ma a la que no asistió. También a ese mismo medio se le notificó el acto impugnado el 22 de agosto de 2016. (Léanse folios 21,67,68,79 y 89 del expediente administrativo)</w:t>
      </w:r>
    </w:p>
    <w:p w:rsidR="00000000" w:rsidRDefault="00676C74">
      <w:pPr>
        <w:kinsoku w:val="0"/>
        <w:overflowPunct w:val="0"/>
        <w:autoSpaceDE/>
        <w:autoSpaceDN/>
        <w:adjustRightInd/>
        <w:spacing w:before="269" w:line="27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En primer término, debe indicarse que el recurrente, en sus alegatos no aporta prueba</w:t>
      </w:r>
      <w:r>
        <w:rPr>
          <w:rFonts w:ascii="Verdana" w:hAnsi="Verdana" w:cs="Verdana"/>
          <w:spacing w:val="3"/>
          <w:sz w:val="22"/>
          <w:szCs w:val="22"/>
          <w:lang w:val="es-ES" w:eastAsia="es-ES"/>
        </w:rPr>
        <w:t xml:space="preserve"> alguna que contraríe de manera fehaciente lo indicado por el Consejo de Transporte Público, por el contrario, la Administración eleva el expediente solicitado por el Tribunal Administrativo de Transporte, en donde consta que al recurrente se le notificó c</w:t>
      </w:r>
      <w:r>
        <w:rPr>
          <w:rFonts w:ascii="Verdana" w:hAnsi="Verdana" w:cs="Verdana"/>
          <w:spacing w:val="3"/>
          <w:sz w:val="22"/>
          <w:szCs w:val="22"/>
          <w:lang w:val="es-ES" w:eastAsia="es-ES"/>
        </w:rPr>
        <w:t>ita para la firma del contrato de renovación y se notificó el acto impugnado precisamente al medio indicado por él.</w:t>
      </w:r>
    </w:p>
    <w:p w:rsidR="00000000" w:rsidRDefault="00676C74">
      <w:pPr>
        <w:kinsoku w:val="0"/>
        <w:overflowPunct w:val="0"/>
        <w:autoSpaceDE/>
        <w:autoSpaceDN/>
        <w:adjustRightInd/>
        <w:spacing w:before="277" w:line="275" w:lineRule="exact"/>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Por lo dicho no se vislumbra nulidad alguna y así debe declararse.</w:t>
      </w:r>
    </w:p>
    <w:p w:rsidR="00000000" w:rsidRDefault="00676C74">
      <w:pPr>
        <w:widowControl/>
        <w:rPr>
          <w:sz w:val="24"/>
          <w:szCs w:val="24"/>
        </w:rPr>
        <w:sectPr w:rsidR="00000000">
          <w:pgSz w:w="12307" w:h="15778"/>
          <w:pgMar w:top="1440" w:right="2015" w:bottom="169" w:left="2212" w:header="720" w:footer="720" w:gutter="0"/>
          <w:cols w:space="720"/>
          <w:noEndnote/>
        </w:sectPr>
      </w:pPr>
    </w:p>
    <w:p w:rsidR="00000000" w:rsidRDefault="00676C74">
      <w:pPr>
        <w:kinsoku w:val="0"/>
        <w:overflowPunct w:val="0"/>
        <w:autoSpaceDE/>
        <w:autoSpaceDN/>
        <w:adjustRightInd/>
        <w:spacing w:before="2" w:after="247" w:line="273"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POR TANTO</w:t>
      </w:r>
    </w:p>
    <w:p w:rsidR="00000000" w:rsidRDefault="00676C74">
      <w:pPr>
        <w:widowControl/>
        <w:rPr>
          <w:sz w:val="24"/>
          <w:szCs w:val="24"/>
        </w:rPr>
        <w:sectPr w:rsidR="00000000">
          <w:pgSz w:w="12307" w:h="15778"/>
          <w:pgMar w:top="1580" w:right="4721" w:bottom="222" w:left="4706" w:header="720" w:footer="720" w:gutter="0"/>
          <w:cols w:space="720"/>
          <w:noEndnote/>
        </w:sectPr>
      </w:pPr>
    </w:p>
    <w:p w:rsidR="00000000" w:rsidRDefault="00676C74">
      <w:pPr>
        <w:numPr>
          <w:ilvl w:val="0"/>
          <w:numId w:val="2"/>
        </w:numPr>
        <w:kinsoku w:val="0"/>
        <w:overflowPunct w:val="0"/>
        <w:autoSpaceDE/>
        <w:autoSpaceDN/>
        <w:adjustRightInd/>
        <w:spacing w:before="21" w:line="273" w:lineRule="exact"/>
        <w:ind w:right="576"/>
        <w:jc w:val="both"/>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t xml:space="preserve">Se Rechaza por </w:t>
      </w:r>
      <w:r>
        <w:rPr>
          <w:rFonts w:ascii="Verdana" w:hAnsi="Verdana" w:cs="Verdana"/>
          <w:b/>
          <w:bCs/>
          <w:spacing w:val="-8"/>
          <w:sz w:val="22"/>
          <w:szCs w:val="22"/>
          <w:lang w:val="es-ES" w:eastAsia="es-ES"/>
        </w:rPr>
        <w:t>Extemporáneo el Recurso de Apelación y Nulidad Absoluta Concomitante, presentado por el señor J</w:t>
      </w:r>
      <w:r w:rsidR="009B7B91">
        <w:rPr>
          <w:rFonts w:ascii="Verdana" w:hAnsi="Verdana" w:cs="Verdana"/>
          <w:b/>
          <w:bCs/>
          <w:spacing w:val="-8"/>
          <w:sz w:val="22"/>
          <w:szCs w:val="22"/>
          <w:lang w:val="es-ES" w:eastAsia="es-ES"/>
        </w:rPr>
        <w:t>.C.R.B.</w:t>
      </w:r>
      <w:r>
        <w:rPr>
          <w:rFonts w:ascii="Verdana" w:hAnsi="Verdana" w:cs="Verdana"/>
          <w:b/>
          <w:bCs/>
          <w:spacing w:val="-8"/>
          <w:sz w:val="22"/>
          <w:szCs w:val="22"/>
          <w:lang w:val="es-ES" w:eastAsia="es-ES"/>
        </w:rPr>
        <w:t xml:space="preserve">, cédula de identidad </w:t>
      </w:r>
      <w:r w:rsidR="009B7B91">
        <w:rPr>
          <w:rFonts w:ascii="Verdana" w:hAnsi="Verdana" w:cs="Verdana"/>
          <w:b/>
          <w:bCs/>
          <w:spacing w:val="-8"/>
          <w:sz w:val="22"/>
          <w:szCs w:val="22"/>
          <w:lang w:val="es-ES" w:eastAsia="es-ES"/>
        </w:rPr>
        <w:t>…</w:t>
      </w:r>
      <w:r>
        <w:rPr>
          <w:rFonts w:ascii="Verdana" w:hAnsi="Verdana" w:cs="Verdana"/>
          <w:b/>
          <w:bCs/>
          <w:spacing w:val="-8"/>
          <w:sz w:val="22"/>
          <w:szCs w:val="22"/>
          <w:lang w:val="es-ES" w:eastAsia="es-ES"/>
        </w:rPr>
        <w:t>, contra el Artículo 7.2 de la Sesió</w:t>
      </w:r>
      <w:r>
        <w:rPr>
          <w:rFonts w:ascii="Verdana" w:hAnsi="Verdana" w:cs="Verdana"/>
          <w:b/>
          <w:bCs/>
          <w:spacing w:val="-8"/>
          <w:sz w:val="22"/>
          <w:szCs w:val="22"/>
          <w:lang w:val="es-ES" w:eastAsia="es-ES"/>
        </w:rPr>
        <w:t xml:space="preserve">n Ordinaria 40-2016 del 18 de agosto de 2016, </w:t>
      </w:r>
      <w:r>
        <w:rPr>
          <w:rFonts w:ascii="Verdana" w:hAnsi="Verdana" w:cs="Verdana"/>
          <w:spacing w:val="-8"/>
          <w:sz w:val="22"/>
          <w:szCs w:val="22"/>
          <w:lang w:val="es-ES" w:eastAsia="es-ES"/>
        </w:rPr>
        <w:t>dictado por la JUNTA DIRECTIVA DEL CONSEJO DE TRANSPORTE PÚBLICO.</w:t>
      </w:r>
    </w:p>
    <w:p w:rsidR="00000000" w:rsidRPr="009B7B91" w:rsidRDefault="00676C74" w:rsidP="009B7B91">
      <w:pPr>
        <w:numPr>
          <w:ilvl w:val="0"/>
          <w:numId w:val="2"/>
        </w:numPr>
        <w:kinsoku w:val="0"/>
        <w:overflowPunct w:val="0"/>
        <w:autoSpaceDE/>
        <w:autoSpaceDN/>
        <w:adjustRightInd/>
        <w:spacing w:before="282" w:after="379" w:line="273" w:lineRule="exact"/>
        <w:ind w:right="576"/>
        <w:jc w:val="both"/>
        <w:textAlignment w:val="baseline"/>
        <w:rPr>
          <w:sz w:val="24"/>
          <w:szCs w:val="24"/>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tiene por a</w:t>
      </w:r>
      <w:r>
        <w:rPr>
          <w:rFonts w:ascii="Verdana" w:hAnsi="Verdana" w:cs="Verdana"/>
          <w:i/>
          <w:iCs/>
          <w:sz w:val="22"/>
          <w:szCs w:val="22"/>
          <w:lang w:val="es-ES" w:eastAsia="es-ES"/>
        </w:rPr>
        <w:t xml:space="preserve">gotada la vía administrativa. </w:t>
      </w:r>
      <w:r>
        <w:rPr>
          <w:rFonts w:ascii="Verdana" w:hAnsi="Verdana" w:cs="Verdana"/>
          <w:b/>
          <w:bCs/>
          <w:sz w:val="22"/>
          <w:szCs w:val="22"/>
          <w:lang w:val="es-ES" w:eastAsia="es-ES"/>
        </w:rPr>
        <w:t xml:space="preserve">NOTIFÍQUESE. </w:t>
      </w:r>
      <w:r w:rsidR="009B7B91">
        <w:rPr>
          <w:rFonts w:ascii="Verdana" w:hAnsi="Verdana" w:cs="Verdana"/>
          <w:b/>
          <w:bCs/>
          <w:sz w:val="22"/>
          <w:szCs w:val="22"/>
          <w:lang w:val="es-ES" w:eastAsia="es-ES"/>
        </w:rPr>
        <w:t>–</w:t>
      </w:r>
    </w:p>
    <w:p w:rsidR="009B7B91" w:rsidRPr="00CF40A0" w:rsidRDefault="009B7B91" w:rsidP="009B7B91">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9B7B91" w:rsidRDefault="009B7B91" w:rsidP="009B7B91">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9B7B91" w:rsidRDefault="009B7B91" w:rsidP="009B7B91">
      <w:pPr>
        <w:kinsoku w:val="0"/>
        <w:overflowPunct w:val="0"/>
        <w:autoSpaceDE/>
        <w:autoSpaceDN/>
        <w:adjustRightInd/>
        <w:spacing w:before="100" w:beforeAutospacing="1" w:after="100" w:afterAutospacing="1" w:line="320" w:lineRule="exact"/>
        <w:ind w:left="144"/>
        <w:jc w:val="center"/>
        <w:textAlignment w:val="baseline"/>
        <w:rPr>
          <w:b/>
          <w:bCs/>
          <w:spacing w:val="1"/>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End w:id="0"/>
    </w:p>
    <w:p w:rsidR="009B7B91" w:rsidRPr="009B7B91" w:rsidRDefault="009B7B91" w:rsidP="009B7B91">
      <w:pPr>
        <w:kinsoku w:val="0"/>
        <w:overflowPunct w:val="0"/>
        <w:autoSpaceDE/>
        <w:autoSpaceDN/>
        <w:adjustRightInd/>
        <w:spacing w:before="282" w:after="379" w:line="273" w:lineRule="exact"/>
        <w:ind w:right="576"/>
        <w:jc w:val="both"/>
        <w:textAlignment w:val="baseline"/>
        <w:rPr>
          <w:sz w:val="24"/>
          <w:szCs w:val="24"/>
        </w:rPr>
      </w:pPr>
    </w:p>
    <w:p w:rsidR="009B7B91" w:rsidRDefault="009B7B91" w:rsidP="009B7B91">
      <w:pPr>
        <w:kinsoku w:val="0"/>
        <w:overflowPunct w:val="0"/>
        <w:autoSpaceDE/>
        <w:autoSpaceDN/>
        <w:adjustRightInd/>
        <w:spacing w:before="282" w:after="379" w:line="273" w:lineRule="exact"/>
        <w:ind w:right="576"/>
        <w:jc w:val="both"/>
        <w:textAlignment w:val="baseline"/>
        <w:rPr>
          <w:sz w:val="24"/>
          <w:szCs w:val="24"/>
        </w:rPr>
      </w:pPr>
    </w:p>
    <w:p w:rsidR="009B7B91" w:rsidRDefault="009B7B91" w:rsidP="009B7B91">
      <w:pPr>
        <w:kinsoku w:val="0"/>
        <w:overflowPunct w:val="0"/>
        <w:autoSpaceDE/>
        <w:autoSpaceDN/>
        <w:adjustRightInd/>
        <w:spacing w:before="282" w:after="379" w:line="273" w:lineRule="exact"/>
        <w:ind w:right="576"/>
        <w:jc w:val="both"/>
        <w:textAlignment w:val="baseline"/>
        <w:rPr>
          <w:sz w:val="24"/>
          <w:szCs w:val="24"/>
        </w:rPr>
        <w:sectPr w:rsidR="009B7B91">
          <w:type w:val="continuous"/>
          <w:pgSz w:w="12307" w:h="15778"/>
          <w:pgMar w:top="1580" w:right="1547" w:bottom="222" w:left="2136" w:header="720" w:footer="720" w:gutter="0"/>
          <w:cols w:space="720"/>
          <w:noEndnote/>
        </w:sectPr>
      </w:pPr>
    </w:p>
    <w:p w:rsidR="00676C74" w:rsidRDefault="00676C74" w:rsidP="009B7B91">
      <w:pPr>
        <w:tabs>
          <w:tab w:val="right" w:pos="2808"/>
        </w:tabs>
        <w:kinsoku w:val="0"/>
        <w:overflowPunct w:val="0"/>
        <w:autoSpaceDE/>
        <w:autoSpaceDN/>
        <w:adjustRightInd/>
        <w:spacing w:before="5" w:line="275" w:lineRule="exact"/>
        <w:ind w:left="72"/>
        <w:textAlignment w:val="baseline"/>
        <w:rPr>
          <w:rFonts w:ascii="Verdana" w:hAnsi="Verdana" w:cs="Verdana"/>
          <w:sz w:val="19"/>
          <w:szCs w:val="19"/>
          <w:lang w:val="es-ES" w:eastAsia="es-ES"/>
        </w:rPr>
      </w:pPr>
    </w:p>
    <w:sectPr w:rsidR="00676C74">
      <w:type w:val="continuous"/>
      <w:pgSz w:w="12307" w:h="15778"/>
      <w:pgMar w:top="1580" w:right="1987" w:bottom="222" w:left="7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153A"/>
    <w:multiLevelType w:val="singleLevel"/>
    <w:tmpl w:val="00E0000C"/>
    <w:lvl w:ilvl="0">
      <w:start w:val="1"/>
      <w:numFmt w:val="upperRoman"/>
      <w:lvlText w:val="%1.-"/>
      <w:lvlJc w:val="left"/>
      <w:pPr>
        <w:tabs>
          <w:tab w:val="num" w:pos="576"/>
        </w:tabs>
      </w:pPr>
      <w:rPr>
        <w:rFonts w:ascii="Verdana" w:hAnsi="Verdana" w:cs="Verdana"/>
        <w:b/>
        <w:snapToGrid/>
        <w:spacing w:val="-8"/>
        <w:sz w:val="22"/>
        <w:szCs w:val="22"/>
      </w:rPr>
    </w:lvl>
  </w:abstractNum>
  <w:abstractNum w:abstractNumId="1" w15:restartNumberingAfterBreak="0">
    <w:nsid w:val="029E977A"/>
    <w:multiLevelType w:val="singleLevel"/>
    <w:tmpl w:val="1DE1DAD4"/>
    <w:lvl w:ilvl="0">
      <w:start w:val="1"/>
      <w:numFmt w:val="decimal"/>
      <w:lvlText w:val="%1.-"/>
      <w:lvlJc w:val="left"/>
      <w:pPr>
        <w:tabs>
          <w:tab w:val="num" w:pos="432"/>
        </w:tabs>
      </w:pPr>
      <w:rPr>
        <w:rFonts w:ascii="Verdana" w:hAnsi="Verdana" w:cs="Verdana"/>
        <w:b/>
        <w:bCs/>
        <w:snapToGrid/>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91"/>
    <w:rsid w:val="00676C74"/>
    <w:rsid w:val="009B7B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F26C1"/>
  <w14:defaultImageDpi w14:val="0"/>
  <w15:docId w15:val="{F464E5F0-B8C6-4DB3-9611-2E523589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7B91"/>
    <w:rPr>
      <w:color w:val="0563C1" w:themeColor="hyperlink"/>
      <w:u w:val="single"/>
    </w:rPr>
  </w:style>
  <w:style w:type="character" w:styleId="Mencinsinresolver">
    <w:name w:val="Unresolved Mention"/>
    <w:basedOn w:val="Fuentedeprrafopredeter"/>
    <w:uiPriority w:val="99"/>
    <w:semiHidden/>
    <w:unhideWhenUsed/>
    <w:rsid w:val="009B7B91"/>
    <w:rPr>
      <w:color w:val="808080"/>
      <w:shd w:val="clear" w:color="auto" w:fill="E6E6E6"/>
    </w:rPr>
  </w:style>
  <w:style w:type="paragraph" w:customStyle="1" w:styleId="Style1">
    <w:name w:val="Style 1"/>
    <w:basedOn w:val="Normal"/>
    <w:uiPriority w:val="99"/>
    <w:rsid w:val="009B7B91"/>
    <w:rPr>
      <w:lang w:val="es-CR"/>
    </w:rPr>
  </w:style>
  <w:style w:type="character" w:customStyle="1" w:styleId="CharacterStyle1">
    <w:name w:val="Character Style 1"/>
    <w:uiPriority w:val="99"/>
    <w:rsid w:val="009B7B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mailto: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2017-06-26T19:58:00Z</dcterms:created>
  <dcterms:modified xsi:type="dcterms:W3CDTF">2017-06-26T19:58:00Z</dcterms:modified>
</cp:coreProperties>
</file>